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jc w:val="center"/>
      </w:pPr>
      <w:r>
        <w:rPr>
          <w:rFonts w:ascii="Arial" w:hAnsi="Arial"/>
          <w:b/>
          <w:color w:val="F59E0B"/>
          <w:sz w:val="22"/>
        </w:rPr>
        <w:t>ANNUAL REPORT  /  2020-2024</w:t>
      </w:r>
    </w:p>
    <w:p>
      <w:pPr>
        <w:spacing w:before="400" w:after="320"/>
        <w:jc w:val="center"/>
      </w:pPr>
      <w:r>
        <w:rPr>
          <w:rFonts w:ascii="游ゴシック" w:hAnsi="游ゴシック" w:eastAsia="游ゴシック"/>
          <w:b/>
          <w:color w:val="1E40AF"/>
          <w:sz w:val="56"/>
        </w:rPr>
        <w:t>セミナー集客実績 報告書</w:t>
      </w:r>
    </w:p>
    <w:p>
      <w:pPr>
        <w:jc w:val="center"/>
      </w:pPr>
      <w:r>
        <w:rPr>
          <w:rFonts w:ascii="游ゴシック" w:hAnsi="游ゴシック" w:eastAsia="游ゴシック"/>
          <w:color w:val="64748B"/>
          <w:sz w:val="26"/>
        </w:rPr>
        <w:t>2020-2024 年度の振り返りと 2025 年度の戦略提案</w:t>
      </w:r>
    </w:p>
    <w:p/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F1F5F9"/>
          </w:tcPr>
          <w:p>
            <w:r>
              <w:rPr>
                <w:b/>
                <w:color w:val="1E40AF"/>
                <w:sz w:val="20"/>
              </w:rPr>
              <w:t>作成日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2026年05月17日</w:t>
            </w:r>
          </w:p>
        </w:tc>
      </w:tr>
      <w:tr>
        <w:tc>
          <w:tcPr>
            <w:tcW w:type="dxa" w:w="4320"/>
            <w:shd w:val="clear" w:color="auto" w:fill="F1F5F9"/>
          </w:tcPr>
          <w:p>
            <w:r>
              <w:rPr>
                <w:b/>
                <w:color w:val="1E40AF"/>
                <w:sz w:val="20"/>
              </w:rPr>
              <w:t>対象期間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2020年1月 〜 2024年12月</w:t>
            </w:r>
          </w:p>
        </w:tc>
      </w:tr>
      <w:tr>
        <w:tc>
          <w:tcPr>
            <w:tcW w:type="dxa" w:w="4320"/>
            <w:shd w:val="clear" w:color="auto" w:fill="F1F5F9"/>
          </w:tcPr>
          <w:p>
            <w:r>
              <w:rPr>
                <w:b/>
                <w:color w:val="1E40AF"/>
                <w:sz w:val="20"/>
              </w:rPr>
              <w:t>読み手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経営層・営業責任者・事業企画</w:t>
            </w:r>
          </w:p>
        </w:tc>
      </w:tr>
      <w:tr>
        <w:tc>
          <w:tcPr>
            <w:tcW w:type="dxa" w:w="4320"/>
            <w:shd w:val="clear" w:color="auto" w:fill="F1F5F9"/>
          </w:tcPr>
          <w:p>
            <w:r>
              <w:rPr>
                <w:b/>
                <w:color w:val="1E40AF"/>
                <w:sz w:val="20"/>
              </w:rPr>
              <w:t>作成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Gemini CLI 実務活用講座 デモ用（架空データ）</w:t>
            </w:r>
          </w:p>
        </w:tc>
      </w:tr>
    </w:tbl>
    <w:p>
      <w:r>
        <w:br w:type="page"/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1. エグゼクティブサマリー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本報告書は 2020 年から 2024 年までの 5 年間にわたる当社主催セミナーの集客実績を集計・分析し、市場環境の変化を踏まえて 2025 年度の事業見通しと戦略を提示するものである。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4"/>
        </w:rPr>
        <w:t>5 年間の主要指標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参加者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売上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成約率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広告 ROI</w:t>
            </w:r>
          </w:p>
        </w:tc>
      </w:tr>
      <w:tr>
        <w:tc>
          <w:tcPr>
            <w:tcW w:type="dxa" w:w="2160"/>
          </w:tcPr>
          <w:p>
            <w:pPr>
              <w:jc w:val="center"/>
            </w:pPr>
            <w:r>
              <w:rPr>
                <w:rFonts w:ascii="游ゴシック" w:hAnsi="游ゴシック" w:eastAsia="游ゴシック"/>
                <w:b/>
                <w:color w:val="1E40AF"/>
                <w:sz w:val="19"/>
              </w:rPr>
              <w:t>620 人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游ゴシック" w:hAnsi="游ゴシック" w:eastAsia="游ゴシック"/>
                <w:b/>
                <w:color w:val="1E40AF"/>
                <w:sz w:val="19"/>
              </w:rPr>
              <w:t>3,520 万円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游ゴシック" w:hAnsi="游ゴシック" w:eastAsia="游ゴシック"/>
                <w:b/>
                <w:color w:val="1E40AF"/>
                <w:sz w:val="19"/>
              </w:rPr>
              <w:t>11.5%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rPr>
                <w:rFonts w:ascii="游ゴシック" w:hAnsi="游ゴシック" w:eastAsia="游ゴシック"/>
                <w:b/>
                <w:color w:val="1E40AF"/>
                <w:sz w:val="19"/>
              </w:rPr>
              <w:t>880%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/>
          <w:i w:val="0"/>
          <w:color w:val="0F766E"/>
          <w:sz w:val="21"/>
        </w:rPr>
        <w:t>→ 2020 年比で参加者 +72%、売上 +96%。5 年連続成長期に入っており、コロナ禍（2021）の落ち込みは過去化済み。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4"/>
        </w:rPr>
        <w:t>主要な気づき（3 点）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sz w:val="21"/>
        </w:rPr>
        <w:t xml:space="preserve">🟢 </w:t>
      </w:r>
      <w:r>
        <w:rPr>
          <w:rFonts w:ascii="游ゴシック" w:hAnsi="游ゴシック" w:eastAsia="游ゴシック"/>
          <w:b/>
          <w:color w:val="1E40AF"/>
          <w:sz w:val="21"/>
        </w:rPr>
        <w:t>成長基調が継続</w:t>
      </w:r>
      <w:r>
        <w:rPr>
          <w:rFonts w:ascii="游ゴシック" w:hAnsi="游ゴシック" w:eastAsia="游ゴシック"/>
          <w:sz w:val="21"/>
        </w:rPr>
        <w:t>：CAGR 14.5%（参加者）/ 18.3%（売上）。2022 年以降の伸びが顕著。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sz w:val="21"/>
        </w:rPr>
        <w:t xml:space="preserve">🟢 </w:t>
      </w:r>
      <w:r>
        <w:rPr>
          <w:rFonts w:ascii="游ゴシック" w:hAnsi="游ゴシック" w:eastAsia="游ゴシック"/>
          <w:b/>
          <w:color w:val="1E40AF"/>
          <w:sz w:val="21"/>
        </w:rPr>
        <w:t>広告効率が改善</w:t>
      </w:r>
      <w:r>
        <w:rPr>
          <w:rFonts w:ascii="游ゴシック" w:hAnsi="游ゴシック" w:eastAsia="游ゴシック"/>
          <w:sz w:val="21"/>
        </w:rPr>
        <w:t>：ROI は 2020 年 750% → 2024 年 880%。LP 改修と CV 率最適化が奏功。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sz w:val="21"/>
        </w:rPr>
        <w:t xml:space="preserve">🟡 </w:t>
      </w:r>
      <w:r>
        <w:rPr>
          <w:rFonts w:ascii="游ゴシック" w:hAnsi="游ゴシック" w:eastAsia="游ゴシック"/>
          <w:b/>
          <w:color w:val="1E40AF"/>
          <w:sz w:val="21"/>
        </w:rPr>
        <w:t>コンテンツ別の差が拡大</w:t>
      </w:r>
      <w:r>
        <w:rPr>
          <w:rFonts w:ascii="游ゴシック" w:hAnsi="游ゴシック" w:eastAsia="游ゴシック"/>
          <w:sz w:val="21"/>
        </w:rPr>
        <w:t>：年末特別セミナーが最大集客（68 人）、財務系が最少（42 人）。コンテンツ刷新の余地あり。</w:t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4"/>
        </w:rPr>
        <w:t>2025 年度の主要提言（3 点）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b/>
          <w:color w:val="1E40AF"/>
          <w:sz w:val="21"/>
        </w:rPr>
        <w:t>継続</w:t>
      </w:r>
      <w:r>
        <w:rPr>
          <w:rFonts w:ascii="游ゴシック" w:hAnsi="游ゴシック" w:eastAsia="游ゴシック"/>
          <w:sz w:val="21"/>
        </w:rPr>
        <w:t>：広告費を前年水準（400 万円）に維持し、運用最適化と LP 改修で +5% の効率改善を狙う。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b/>
          <w:color w:val="1E40AF"/>
          <w:sz w:val="21"/>
        </w:rPr>
        <w:t>新設</w:t>
      </w:r>
      <w:r>
        <w:rPr>
          <w:rFonts w:ascii="游ゴシック" w:hAnsi="游ゴシック" w:eastAsia="游ゴシック"/>
          <w:sz w:val="21"/>
        </w:rPr>
        <w:t xml:space="preserve">：過去 3 年の参加者リストに向けた </w:t>
      </w:r>
      <w:r>
        <w:rPr>
          <w:rFonts w:ascii="游ゴシック" w:hAnsi="游ゴシック" w:eastAsia="游ゴシック"/>
          <w:b/>
          <w:color w:val="1E40AF"/>
          <w:sz w:val="21"/>
        </w:rPr>
        <w:t>リピート促進フロー</w:t>
      </w:r>
      <w:r>
        <w:rPr>
          <w:rFonts w:ascii="游ゴシック" w:hAnsi="游ゴシック" w:eastAsia="游ゴシック"/>
          <w:sz w:val="21"/>
        </w:rPr>
        <w:t>（メルマガ + 早割）を導入。</w:t>
      </w:r>
    </w:p>
    <w:p>
      <w:pPr>
        <w:pStyle w:val="ListBullet"/>
        <w:spacing w:after="40"/>
      </w:pPr>
      <w:r>
        <w:rPr>
          <w:rFonts w:ascii="游ゴシック" w:hAnsi="游ゴシック" w:eastAsia="游ゴシック"/>
          <w:b/>
          <w:color w:val="1E40AF"/>
          <w:sz w:val="21"/>
        </w:rPr>
        <w:t>自動化</w:t>
      </w:r>
      <w:r>
        <w:rPr>
          <w:rFonts w:ascii="游ゴシック" w:hAnsi="游ゴシック" w:eastAsia="游ゴシック"/>
          <w:sz w:val="21"/>
        </w:rPr>
        <w:t>：申込 → 確認メール → リマインドの導線を AI で自動化し、運営工数を 月 △40 時間 圧縮。</w:t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4"/>
        </w:rPr>
        <w:t>2025 年度の予測（基本シナリオ）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シナリオ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参加者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売上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達成確度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b/>
                <w:sz w:val="19"/>
              </w:rPr>
              <w:t>基本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b/>
                <w:sz w:val="19"/>
              </w:rPr>
              <w:t>680 人 (+9.7%)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b/>
                <w:sz w:val="19"/>
              </w:rPr>
              <w:t>3,850 万円 (+9.4%)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b/>
                <w:sz w:val="19"/>
              </w:rPr>
              <w:t>60%</w:t>
            </w:r>
          </w:p>
        </w:tc>
      </w:tr>
    </w:tbl>
    <w:p>
      <w:r>
        <w:br w:type="page"/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2. 5 年間の実績分析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本セクションでは、年次推移と月別推移の 2 つの視点から、過去 5 年間の集客実績を分析する。</w:t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6"/>
        </w:rPr>
        <w:t>2.1 年次推移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年度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開催回数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参加者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成約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成約率(%)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売上(万円)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広告費(万円)</w:t>
            </w:r>
          </w:p>
        </w:tc>
        <w:tc>
          <w:tcPr>
            <w:tcW w:type="dxa" w:w="10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ROI(%)</w:t>
            </w:r>
          </w:p>
        </w:tc>
      </w:tr>
      <w:tr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2020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12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360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36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10.0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1,800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240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750.0</w:t>
            </w:r>
          </w:p>
        </w:tc>
      </w:tr>
      <w:tr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2021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280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25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8.9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1,250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625.0</w:t>
            </w:r>
          </w:p>
        </w:tc>
      </w:tr>
      <w:tr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2022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14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420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46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11.0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2,300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300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766.7</w:t>
            </w:r>
          </w:p>
        </w:tc>
      </w:tr>
      <w:tr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2023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16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520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57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11.0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2,850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350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814.3</w:t>
            </w:r>
          </w:p>
        </w:tc>
      </w:tr>
      <w:tr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2024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18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620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71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11.5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3,520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400</w:t>
            </w:r>
          </w:p>
        </w:tc>
        <w:tc>
          <w:tcPr>
            <w:tcW w:type="dxa" w:w="1080"/>
          </w:tcPr>
          <w:p>
            <w:r>
              <w:rPr>
                <w:rFonts w:ascii="游ゴシック" w:hAnsi="游ゴシック" w:eastAsia="游ゴシック"/>
                <w:sz w:val="19"/>
              </w:rPr>
              <w:t>880.0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r>
        <w:drawing>
          <wp:inline xmlns:a="http://schemas.openxmlformats.org/drawingml/2006/main" xmlns:pic="http://schemas.openxmlformats.org/drawingml/2006/picture">
            <wp:extent cx="5760000" cy="246915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hart1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46915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出典：sample_data_raw/セミナー集客データ_2020-2024.csv を Gemini CLI で集計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r>
        <w:drawing>
          <wp:inline xmlns:a="http://schemas.openxmlformats.org/drawingml/2006/main" xmlns:pic="http://schemas.openxmlformats.org/drawingml/2006/picture">
            <wp:extent cx="5760000" cy="247493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hart2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47493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出典：同上。広告費は売上の約 11.4%（5 年平均）で安定推移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6"/>
        </w:rPr>
        <w:t>2.2 月別分析（2024 年）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月別データから、年内のピーク月（8 月・12 月の特別セミナー）と需要が低下する月（6 月の財務系）が明確になった。コンテンツ別の獲得効率改善の余地が大きい。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r>
        <w:drawing>
          <wp:inline xmlns:a="http://schemas.openxmlformats.org/drawingml/2006/main" xmlns:pic="http://schemas.openxmlformats.org/drawingml/2006/picture">
            <wp:extent cx="5760000" cy="247724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hart3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47724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出典：sample_data_raw/月別参加者データ_2024.csv より AI が抽出</w:t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2"/>
        </w:rPr>
        <w:t>コンテンツ別 集計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コンテンツ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開催数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総参加者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総成約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平均満足度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ビジネス基礎セミナー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208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23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4.28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マーケティング入門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156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17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4.37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営業力アップ講座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2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108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12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4.25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夏季特別セミナー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62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4.60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年末特別セミナー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68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8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4.70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財務・数字で語るセミナー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42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4.00</w:t>
            </w:r>
          </w:p>
        </w:tc>
      </w:tr>
    </w:tbl>
    <w:p>
      <w:r>
        <w:br w:type="page"/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3. 課題と機会の整理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5 年間の実績と直近の月別データから、2025 年度に取り組むべき主要な課題と機会を抽出した。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6"/>
        </w:rPr>
        <w:t>3.1 主要な課題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課題</w:t>
            </w:r>
          </w:p>
        </w:tc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影響度</w:t>
            </w:r>
          </w:p>
        </w:tc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対応の方向性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低集客コンテンツ（財務系）の固定化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中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テーマ刷新 or 撤退判断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リピート率の見える化が不十分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高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過去参加者リストを CRM 化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広告単価の上昇（業界平均 +18% / 5年）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高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運用最適化と LP 改修で吸収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運営工数が増加（月 60 時間以上）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中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申込導線を AI で自動化（△40h/月）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before="200" w:after="120"/>
      </w:pPr>
      <w:r>
        <w:rPr>
          <w:rFonts w:ascii="游ゴシック" w:hAnsi="游ゴシック" w:eastAsia="游ゴシック"/>
          <w:b/>
          <w:color w:val="1E40AF"/>
          <w:sz w:val="26"/>
        </w:rPr>
        <w:t>3.2 主要な機会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機会</w:t>
            </w:r>
          </w:p>
        </w:tc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期待効果</w:t>
            </w:r>
          </w:p>
        </w:tc>
        <w:tc>
          <w:tcPr>
            <w:tcW w:type="dxa" w:w="288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実現性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特別セミナーの定期化（夏・冬以外も）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売上 +200〜400 万円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高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過去参加者へのリピート促進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成約率 +1.5pt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高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オンライン比率の更なる拡大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運営コスト △180 万円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中</w:t>
            </w:r>
          </w:p>
        </w:tc>
      </w:tr>
      <w:tr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AI による申込導線の自動化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工数 △40h/月 + 申込率改善</w:t>
            </w:r>
          </w:p>
        </w:tc>
        <w:tc>
          <w:tcPr>
            <w:tcW w:type="dxa" w:w="2880"/>
          </w:tcPr>
          <w:p>
            <w:r>
              <w:rPr>
                <w:rFonts w:ascii="游ゴシック" w:hAnsi="游ゴシック" w:eastAsia="游ゴシック"/>
                <w:sz w:val="19"/>
              </w:rPr>
              <w:t>高</w:t>
            </w:r>
          </w:p>
        </w:tc>
      </w:tr>
    </w:tbl>
    <w:p>
      <w:r>
        <w:br w:type="page"/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4. 2025 年予測（3 シナリオ詳細）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市場環境の不確実性を踏まえ、楽観・基本・悲観の 3 シナリオで 2025 年度を予測した。基本シナリオが達成確度 60% の中心想定である。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観点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🟢 楽観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🔵 基本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🔴 悲観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前提条件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広告効率 +12.5%／CV 率 +1.5pt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前年同水準を継続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競合増・成約率 -1.0pt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予測参加者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730 人 (+17.7%)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680 人 (+9.7%)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560 人 (-9.7%)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予測売上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4,220 万円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3,850 万円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2,800 万円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予測 ROI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938%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917%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737%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達成確度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20%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60%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20%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リスク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リソース不足／CPA悪化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市場変化への対応遅れ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黒字確保困難／撤退検討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主要施策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上位コンテンツ再販強化</w:t>
              <w:br/>
              <w:t>夏冬特別セミナー2倍化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既存運用＋AI自動化</w:t>
              <w:br/>
              <w:t>オンライン75%化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低集客コンテンツ撤退</w:t>
              <w:br/>
              <w:t>コア顧客集中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詳細データは別添 Excel「2025 年度セミナー集客戦略分析」の「3シナリオ詳細」シート参照。</w:t>
      </w:r>
    </w:p>
    <w:p>
      <w:r>
        <w:br w:type="page"/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5. 戦略提案：4 つの打ち手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2"/>
        </w:rPr>
        <w:t>上記の課題・機会分析と 2025 年予測（基本シナリオ）に基づき、4 つの戦略施策を提案する。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施策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概要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実施タイミング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期待効果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01 広告 400 万円維持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前年水準を維持し、運用最適化・LP 改修・配信先選定で +5% の効率改善。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通年（Q1 から開始）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ROI +5pt / リード単価 -5%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02 リピート促進フロー新設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過去 3 年の参加者リストへ、定期メルマガ + 優待早割を新設。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Q2 開始（4-6 月）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リピート率 +15pt / 成約率 +1pt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03 オンライン 75% 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オフラインを年 4 回のフラッグシップに限定、残りはオンライン化。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Q2-Q3 段階移行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運営コスト △180 万円/年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04 AI 申込導線自動化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申込 → 確認メール → リマインドを Gemini CLI で自動化。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Q2 中（実装 + テスト）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工数 △40h/月 / 申込率 +5%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after="80" w:line="360" w:lineRule="auto"/>
      </w:pPr>
      <w:r>
        <w:rPr>
          <w:rFonts w:ascii="游ゴシック" w:hAnsi="游ゴシック" w:eastAsia="游ゴシック"/>
          <w:b/>
          <w:i w:val="0"/>
          <w:color w:val="1E40AF"/>
          <w:sz w:val="21"/>
        </w:rPr>
        <w:t>→ 4 施策の同時推進で、基本シナリオの達成確度を 60% → 75% へ引き上げを狙う。</w:t>
      </w:r>
    </w:p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6. 実施スケジュール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期間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主要マイルストーン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施策 01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施策 02-04</w:t>
            </w:r>
          </w:p>
        </w:tc>
        <w:tc>
          <w:tcPr>
            <w:tcW w:type="dxa" w:w="1728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成果物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Q1 (1-3月)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計画策定 / 体制構築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広告運用最適化開始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リスト整備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実行計画書 / リスト DB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Q2 (4-6月)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申込自動化 / 第1弾実施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LP 改修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AI 自動化 / 早割開始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AI 申込フロー / 第1回開催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Q3 (7-9月)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効果測定 / 配分最適化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ROI 分析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オンライン化推進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中間レポート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Q4 (10-12月)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通期評価 / 2026 計画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通期 ROI 確定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リピート率検証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通期レポート / 2026 計画案</w:t>
            </w:r>
          </w:p>
        </w:tc>
      </w:tr>
      <w:tr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継続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定例 KPI レビュー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月次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月次</w:t>
            </w:r>
          </w:p>
        </w:tc>
        <w:tc>
          <w:tcPr>
            <w:tcW w:type="dxa" w:w="1728"/>
          </w:tcPr>
          <w:p>
            <w:r>
              <w:rPr>
                <w:rFonts w:ascii="游ゴシック" w:hAnsi="游ゴシック" w:eastAsia="游ゴシック"/>
                <w:sz w:val="19"/>
              </w:rPr>
              <w:t>ダッシュボード</w:t>
            </w:r>
          </w:p>
        </w:tc>
      </w:tr>
    </w:tbl>
    <w:p>
      <w:pPr>
        <w:spacing w:before="280" w:after="120"/>
      </w:pPr>
      <w:r>
        <w:rPr>
          <w:rFonts w:ascii="游ゴシック" w:hAnsi="游ゴシック" w:eastAsia="游ゴシック"/>
          <w:b/>
          <w:color w:val="1E40AF"/>
          <w:sz w:val="32"/>
        </w:rPr>
        <w:t>7. 次のアクション（短期 30 日）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アクション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実行者 (R)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承認者 (A)</w:t>
            </w:r>
          </w:p>
        </w:tc>
        <w:tc>
          <w:tcPr>
            <w:tcW w:type="dxa" w:w="2160"/>
            <w:shd w:val="clear" w:color="auto" w:fill="1E40AF"/>
          </w:tcPr>
          <w:p>
            <w:r>
              <w:rPr>
                <w:rFonts w:ascii="游ゴシック" w:hAnsi="游ゴシック" w:eastAsia="游ゴシック"/>
                <w:b/>
                <w:color w:val="FFFFFF"/>
                <w:sz w:val="19"/>
              </w:rPr>
              <w:t>期日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本報告書の承認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事業企画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経営層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今週中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施策 4 件の担当者アサイン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事業責任者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経営層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5 月末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AI 申込フロー設計レビュー会の開催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Gemini CLI 担当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事業企画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6 月上旬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第 1 弾セミナーのキックオフ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営業 + 事業企画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事業責任者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6 月中旬</w:t>
            </w:r>
          </w:p>
        </w:tc>
      </w:tr>
      <w:tr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リピート促進メルマガの初回配信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マーケ担当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事業企画</w:t>
            </w:r>
          </w:p>
        </w:tc>
        <w:tc>
          <w:tcPr>
            <w:tcW w:type="dxa" w:w="2160"/>
          </w:tcPr>
          <w:p>
            <w:r>
              <w:rPr>
                <w:rFonts w:ascii="游ゴシック" w:hAnsi="游ゴシック" w:eastAsia="游ゴシック"/>
                <w:sz w:val="19"/>
              </w:rPr>
              <w:t>6 月末</w:t>
            </w:r>
          </w:p>
        </w:tc>
      </w:tr>
    </w:tbl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R = Responsible（実行者）, A = Accountable（承認者）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 w:val="0"/>
          <w:color w:val="0F172A"/>
          <w:sz w:val="21"/>
        </w:rPr>
      </w:r>
    </w:p>
    <w:p>
      <w:pPr>
        <w:spacing w:after="80" w:line="360" w:lineRule="auto"/>
        <w:jc w:val="center"/>
      </w:pPr>
      <w:r>
        <w:rPr>
          <w:rFonts w:ascii="游ゴシック" w:hAnsi="游ゴシック" w:eastAsia="游ゴシック"/>
          <w:b w:val="0"/>
          <w:i w:val="0"/>
          <w:color w:val="64748B"/>
          <w:sz w:val="18"/>
        </w:rPr>
        <w:t>---</w:t>
      </w:r>
    </w:p>
    <w:p>
      <w:pPr>
        <w:spacing w:after="80" w:line="360" w:lineRule="auto"/>
      </w:pPr>
      <w:r>
        <w:rPr>
          <w:rFonts w:ascii="游ゴシック" w:hAnsi="游ゴシック" w:eastAsia="游ゴシック"/>
          <w:b w:val="0"/>
          <w:i/>
          <w:color w:val="64748B"/>
          <w:sz w:val="18"/>
        </w:rPr>
        <w:t>※ 本資料は Gemini CLI 実務活用講座のデモ用に AI が架空データを基に生成したサンプルです。実際の業務利用時は、自社データと自社ポリシーに基づいて内容をご検証ください。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游ゴシック" w:hAnsi="游ゴシック" w:eastAsia="游ゴシック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